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38D4" w14:textId="77777777" w:rsidR="001C2BB9" w:rsidRDefault="00000000">
      <w:pPr>
        <w:spacing w:before="480" w:after="80"/>
        <w:jc w:val="center"/>
      </w:pPr>
      <w:r>
        <w:rPr>
          <w:b/>
          <w:bCs/>
          <w:color w:val="1F4E79"/>
          <w:sz w:val="36"/>
          <w:szCs w:val="36"/>
        </w:rPr>
        <w:t>THE IMPACT OF HIGHER OIL PRICES ON THE IPO MARKET IN 2026</w:t>
      </w:r>
    </w:p>
    <w:p w14:paraId="7AAE1A4B" w14:textId="77777777" w:rsidR="001C2BB9" w:rsidRDefault="00000000">
      <w:pPr>
        <w:pBdr>
          <w:bottom w:val="single" w:sz="6" w:space="6" w:color="2E75B6"/>
        </w:pBdr>
        <w:spacing w:after="80"/>
        <w:jc w:val="center"/>
      </w:pPr>
      <w:r>
        <w:rPr>
          <w:i/>
          <w:iCs/>
          <w:color w:val="555555"/>
        </w:rPr>
        <w:t>An Analysis of Geopolitical Risk, Inflationary Pressure, and Capital Market Sentiment</w:t>
      </w:r>
    </w:p>
    <w:p w14:paraId="0433A410" w14:textId="77777777" w:rsidR="001C2BB9" w:rsidRDefault="00000000">
      <w:pPr>
        <w:spacing w:before="80" w:after="400"/>
        <w:jc w:val="center"/>
      </w:pPr>
      <w:r>
        <w:rPr>
          <w:color w:val="888888"/>
          <w:sz w:val="20"/>
          <w:szCs w:val="20"/>
        </w:rPr>
        <w:t>March 2026</w:t>
      </w:r>
    </w:p>
    <w:p w14:paraId="4C29B42E" w14:textId="77777777" w:rsidR="001C2BB9" w:rsidRDefault="00000000">
      <w:pPr>
        <w:pStyle w:val="Heading1"/>
        <w:pBdr>
          <w:bottom w:val="single" w:sz="6" w:space="4" w:color="2E75B6"/>
        </w:pBdr>
      </w:pPr>
      <w:r>
        <w:t>Executive Summary</w:t>
      </w:r>
    </w:p>
    <w:p w14:paraId="76F235A7" w14:textId="77777777" w:rsidR="001C2BB9" w:rsidRDefault="00000000">
      <w:pPr>
        <w:spacing w:before="80" w:after="120" w:line="276" w:lineRule="auto"/>
      </w:pPr>
      <w:r>
        <w:rPr>
          <w:color w:val="404040"/>
        </w:rPr>
        <w:t>The IPO market entered 2026 with considerable momentum. Global IPO proceeds surged 21% in 2025, reaching $143.3 billion, and a deep pipeline of unicorns and high-profile companies — including OpenAI, SpaceX, and Anthropic — pointed to a potentially record-breaking year. However, the landscape shifted dramatically in late February 2026, when U.S. and Israeli air strikes on Iran triggered a major supply disruption, sending oil prices soaring from around $60 per barrel at the start of the year to above $100 per barrel by early March.</w:t>
      </w:r>
    </w:p>
    <w:p w14:paraId="45014BEB" w14:textId="77777777" w:rsidR="001C2BB9" w:rsidRDefault="001C2BB9">
      <w:pPr>
        <w:spacing w:before="80"/>
      </w:pPr>
    </w:p>
    <w:p w14:paraId="5DCA40C6" w14:textId="77777777" w:rsidR="001C2BB9" w:rsidRDefault="00000000">
      <w:pPr>
        <w:spacing w:before="80" w:after="120" w:line="276" w:lineRule="auto"/>
      </w:pPr>
      <w:r>
        <w:rPr>
          <w:color w:val="404040"/>
        </w:rPr>
        <w:t>This report examines how these elevated oil prices are reshaping the 2026 IPO market — raising inflation expectations, complicating Federal Reserve policy, dampening risk appetite for growth-stage companies, and forcing a recalibration of listing timelines. At the same time, it identifies which sectors stand to benefit, and what companies and investors must navigate to succeed in this more turbulent environment.</w:t>
      </w:r>
    </w:p>
    <w:p w14:paraId="3323D3EE" w14:textId="77777777" w:rsidR="001C2BB9" w:rsidRDefault="001C2BB9">
      <w:pPr>
        <w:spacing w:before="160"/>
      </w:pPr>
    </w:p>
    <w:p w14:paraId="00862FCD" w14:textId="77777777" w:rsidR="001C2BB9" w:rsidRDefault="00000000">
      <w:pPr>
        <w:pStyle w:val="Heading1"/>
        <w:pBdr>
          <w:bottom w:val="single" w:sz="6" w:space="4" w:color="2E75B6"/>
        </w:pBdr>
      </w:pPr>
      <w:r>
        <w:t>1. The Oil Price Shock of 2026: Context and Scale</w:t>
      </w:r>
    </w:p>
    <w:p w14:paraId="36E472E3" w14:textId="77777777" w:rsidR="001C2BB9" w:rsidRDefault="00000000">
      <w:pPr>
        <w:pStyle w:val="Heading2"/>
      </w:pPr>
      <w:r>
        <w:t>From Surplus to Shock</w:t>
      </w:r>
    </w:p>
    <w:p w14:paraId="751836C5" w14:textId="77777777" w:rsidR="001C2BB9" w:rsidRDefault="00000000">
      <w:pPr>
        <w:spacing w:before="80" w:after="120" w:line="276" w:lineRule="auto"/>
      </w:pPr>
      <w:r>
        <w:rPr>
          <w:color w:val="404040"/>
        </w:rPr>
        <w:t>The year began in deeply bearish territory for oil. J.P. Morgan and the U.S. Energy Information Administration both projected an oversupplied market, with Brent crude expected to average around $58–$60 per barrel for the year. Global oil demand growth was forecast at 640,000–930,000 barrels per day, modest enough to leave inventories rising well into 2027.</w:t>
      </w:r>
    </w:p>
    <w:p w14:paraId="3CFA13BC" w14:textId="77777777" w:rsidR="001C2BB9" w:rsidRDefault="001C2BB9">
      <w:pPr>
        <w:spacing w:before="80"/>
      </w:pPr>
    </w:p>
    <w:p w14:paraId="60D3E9FD" w14:textId="77777777" w:rsidR="001C2BB9" w:rsidRDefault="00000000">
      <w:pPr>
        <w:spacing w:before="80" w:after="120" w:line="276" w:lineRule="auto"/>
      </w:pPr>
      <w:r>
        <w:rPr>
          <w:color w:val="404040"/>
        </w:rPr>
        <w:t>That baseline was shattered when the U.S. and Israel launched joint air strikes on Iran on February 28, 2026, disrupting critical Middle Eastern supply routes and triggering the closure of tanker traffic through the Strait of Hormuz. Global oil supply was projected to plunge by 8 million barrels per day in March. Brent crude briefly surged to nearly $120 per barrel in overnight trading before settling around $92–$102 per barrel — up roughly 60–70% year-to-date.</w:t>
      </w:r>
    </w:p>
    <w:p w14:paraId="3CC46ED2" w14:textId="77777777" w:rsidR="001C2BB9" w:rsidRDefault="001C2B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1C2BB9" w14:paraId="58E80CC4" w14:textId="77777777">
        <w:tc>
          <w:tcPr>
            <w:tcW w:w="0" w:type="auto"/>
            <w:tcBorders>
              <w:top w:val="single" w:sz="1" w:space="0" w:color="AAAAAA"/>
              <w:left w:val="single" w:sz="12" w:space="0" w:color="2E75B6"/>
              <w:bottom w:val="single" w:sz="1" w:space="0" w:color="AAAAAA"/>
              <w:right w:val="single" w:sz="1" w:space="0" w:color="AAAAAA"/>
            </w:tcBorders>
            <w:shd w:val="clear" w:color="auto" w:fill="EBF3FB"/>
            <w:tcMar>
              <w:top w:w="100" w:type="dxa"/>
              <w:left w:w="200" w:type="dxa"/>
              <w:bottom w:w="100" w:type="dxa"/>
              <w:right w:w="200" w:type="dxa"/>
            </w:tcMar>
          </w:tcPr>
          <w:p w14:paraId="56DC34F2" w14:textId="77777777" w:rsidR="001C2BB9" w:rsidRDefault="00000000">
            <w:pPr>
              <w:spacing w:before="40" w:after="40"/>
            </w:pPr>
            <w:r>
              <w:rPr>
                <w:b/>
                <w:bCs/>
                <w:color w:val="2E75B6"/>
                <w:sz w:val="20"/>
                <w:szCs w:val="20"/>
              </w:rPr>
              <w:t xml:space="preserve">Key data point: </w:t>
            </w:r>
            <w:r>
              <w:rPr>
                <w:i/>
                <w:iCs/>
                <w:color w:val="404040"/>
                <w:sz w:val="20"/>
                <w:szCs w:val="20"/>
              </w:rPr>
              <w:t>WTI crude rose from under $60/barrel in January to approximately $95/barrel by mid-March 2026, a gain of roughly 70% in just 11 weeks. Brent crossed $100/barrel, its highest level since 2022.</w:t>
            </w:r>
          </w:p>
        </w:tc>
      </w:tr>
    </w:tbl>
    <w:p w14:paraId="593EA7C6" w14:textId="77777777" w:rsidR="001C2BB9" w:rsidRDefault="001C2BB9">
      <w:pPr>
        <w:spacing w:before="160"/>
      </w:pPr>
    </w:p>
    <w:p w14:paraId="53B73856" w14:textId="77777777" w:rsidR="001C2BB9" w:rsidRDefault="00000000">
      <w:pPr>
        <w:pStyle w:val="Heading2"/>
      </w:pPr>
      <w:proofErr w:type="gramStart"/>
      <w:r>
        <w:t>A Structural</w:t>
      </w:r>
      <w:proofErr w:type="gramEnd"/>
      <w:r>
        <w:t xml:space="preserve"> vs. Temporary Disruption</w:t>
      </w:r>
    </w:p>
    <w:p w14:paraId="36F91A2D" w14:textId="77777777" w:rsidR="001C2BB9" w:rsidRDefault="00000000">
      <w:pPr>
        <w:spacing w:before="80" w:after="120" w:line="276" w:lineRule="auto"/>
      </w:pPr>
      <w:r>
        <w:rPr>
          <w:color w:val="404040"/>
        </w:rPr>
        <w:t>Oil futures markets tell an important story: while Brent spot prices exceeded $100/barrel for near-term deliveries, futures contracts for later in 2026 were priced in the low-to-mid $80s. This reflects market belief that the supply disruption is temporary — contingent on the duration of the conflict and whether key shipping lanes reopen. J.P. Morgan analysts do not anticipate protracted supply disruptions, expecting military action to be targeted and avoiding Iran's core oil infrastructure.</w:t>
      </w:r>
    </w:p>
    <w:p w14:paraId="0D6E0F83" w14:textId="77777777" w:rsidR="001C2BB9" w:rsidRDefault="001C2BB9">
      <w:pPr>
        <w:spacing w:before="80"/>
      </w:pPr>
    </w:p>
    <w:p w14:paraId="5255BBED" w14:textId="77777777" w:rsidR="001C2BB9" w:rsidRDefault="00000000">
      <w:pPr>
        <w:spacing w:before="80" w:after="120" w:line="276" w:lineRule="auto"/>
      </w:pPr>
      <w:r>
        <w:rPr>
          <w:color w:val="404040"/>
        </w:rPr>
        <w:t>Nevertheless, the IEA has revised down its 2026 global oil demand forecast by 210,000 barrels per day to 640,000 barrels per day, citing the combined drag of higher prices, flight cancellations, and petrochemical curtailments. The path from shock to resolution remains highly uncertain.</w:t>
      </w:r>
    </w:p>
    <w:p w14:paraId="3E175ACD" w14:textId="77777777" w:rsidR="001C2BB9" w:rsidRDefault="001C2BB9">
      <w:pPr>
        <w:spacing w:before="160"/>
      </w:pPr>
    </w:p>
    <w:p w14:paraId="21032CF0" w14:textId="77777777" w:rsidR="001C2BB9" w:rsidRDefault="00000000">
      <w:pPr>
        <w:pStyle w:val="Heading1"/>
        <w:pBdr>
          <w:bottom w:val="single" w:sz="6" w:space="4" w:color="2E75B6"/>
        </w:pBdr>
      </w:pPr>
      <w:r>
        <w:t>2. Macroeconomic Transmission: How Oil Hits the IPO Market</w:t>
      </w:r>
    </w:p>
    <w:p w14:paraId="11DFAB16" w14:textId="77777777" w:rsidR="001C2BB9" w:rsidRDefault="00000000">
      <w:pPr>
        <w:pStyle w:val="Heading2"/>
      </w:pPr>
      <w:r>
        <w:t>Inflation Resurgence and the Fed's Dilemma</w:t>
      </w:r>
    </w:p>
    <w:p w14:paraId="4CB331CD" w14:textId="77777777" w:rsidR="001C2BB9" w:rsidRDefault="00000000">
      <w:pPr>
        <w:spacing w:before="80" w:after="120" w:line="276" w:lineRule="auto"/>
      </w:pPr>
      <w:r>
        <w:rPr>
          <w:color w:val="404040"/>
        </w:rPr>
        <w:t>Rising oil prices create supply-side inflation that permeates the broader economy through higher transportation, manufacturing, and energy costs. This directly complicates the Federal Reserve's policy path — and Fed policy is arguably the single most important variable for IPO market health.</w:t>
      </w:r>
    </w:p>
    <w:p w14:paraId="118A51E7" w14:textId="77777777" w:rsidR="001C2BB9" w:rsidRDefault="001C2BB9">
      <w:pPr>
        <w:spacing w:before="80"/>
      </w:pPr>
    </w:p>
    <w:p w14:paraId="0274C8E3" w14:textId="77777777" w:rsidR="001C2BB9" w:rsidRDefault="00000000">
      <w:pPr>
        <w:spacing w:before="80" w:after="120" w:line="276" w:lineRule="auto"/>
      </w:pPr>
      <w:r>
        <w:rPr>
          <w:color w:val="404040"/>
        </w:rPr>
        <w:t xml:space="preserve">At the start of 2026, IPO market optimism was in large part predicated on a continued rate-cutting cycle. PwC's capital markets outlook cited </w:t>
      </w:r>
      <w:proofErr w:type="gramStart"/>
      <w:r>
        <w:rPr>
          <w:color w:val="404040"/>
        </w:rPr>
        <w:t>moderating</w:t>
      </w:r>
      <w:proofErr w:type="gramEnd"/>
      <w:r>
        <w:rPr>
          <w:color w:val="404040"/>
        </w:rPr>
        <w:t xml:space="preserve"> inflation and anticipated interest rate cuts as key drivers of a bullish IPO forecast. Deloitte projected $55–$65 billion in IPO proceeds for 2026, with the potential for a record-breaking year if major listings in AI and defense materialized.</w:t>
      </w:r>
    </w:p>
    <w:p w14:paraId="554B6842" w14:textId="77777777" w:rsidR="001C2BB9" w:rsidRDefault="001C2BB9">
      <w:pPr>
        <w:spacing w:before="80"/>
      </w:pPr>
    </w:p>
    <w:p w14:paraId="48EB83DF" w14:textId="77777777" w:rsidR="001C2BB9" w:rsidRDefault="00000000">
      <w:pPr>
        <w:spacing w:before="80" w:after="120" w:line="276" w:lineRule="auto"/>
      </w:pPr>
      <w:r>
        <w:rPr>
          <w:color w:val="404040"/>
        </w:rPr>
        <w:t xml:space="preserve">The oil shock has dramatically repriced those expectations. Markets have revised their forecasts to just one Fed rate cut in 2026, down from multiple cuts anticipated earlier in the year. With inflation data lagging the oil shock's impact by several months, the Fed faces a difficult choice: ease prematurely and risk entrenching </w:t>
      </w:r>
      <w:proofErr w:type="gramStart"/>
      <w:r>
        <w:rPr>
          <w:color w:val="404040"/>
        </w:rPr>
        <w:t>inflation, or</w:t>
      </w:r>
      <w:proofErr w:type="gramEnd"/>
      <w:r>
        <w:rPr>
          <w:color w:val="404040"/>
        </w:rPr>
        <w:t xml:space="preserve"> hold rates higher and risk tipping the economy into a slowdown.</w:t>
      </w:r>
    </w:p>
    <w:p w14:paraId="0E2ECEF7" w14:textId="77777777" w:rsidR="001C2BB9" w:rsidRDefault="001C2B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1C2BB9" w14:paraId="4345F7D8" w14:textId="77777777">
        <w:tc>
          <w:tcPr>
            <w:tcW w:w="0" w:type="auto"/>
            <w:tcBorders>
              <w:top w:val="single" w:sz="1" w:space="0" w:color="AAAAAA"/>
              <w:left w:val="single" w:sz="12" w:space="0" w:color="2E75B6"/>
              <w:bottom w:val="single" w:sz="1" w:space="0" w:color="AAAAAA"/>
              <w:right w:val="single" w:sz="1" w:space="0" w:color="AAAAAA"/>
            </w:tcBorders>
            <w:shd w:val="clear" w:color="auto" w:fill="EBF3FB"/>
            <w:tcMar>
              <w:top w:w="100" w:type="dxa"/>
              <w:left w:w="200" w:type="dxa"/>
              <w:bottom w:w="100" w:type="dxa"/>
              <w:right w:w="200" w:type="dxa"/>
            </w:tcMar>
          </w:tcPr>
          <w:p w14:paraId="34C6A21D" w14:textId="77777777" w:rsidR="001C2BB9" w:rsidRDefault="00000000">
            <w:pPr>
              <w:spacing w:before="40" w:after="40"/>
            </w:pPr>
            <w:r>
              <w:rPr>
                <w:b/>
                <w:bCs/>
                <w:color w:val="2E75B6"/>
                <w:sz w:val="20"/>
                <w:szCs w:val="20"/>
              </w:rPr>
              <w:t xml:space="preserve">Analyst view: </w:t>
            </w:r>
            <w:r>
              <w:rPr>
                <w:i/>
                <w:iCs/>
                <w:color w:val="404040"/>
                <w:sz w:val="20"/>
                <w:szCs w:val="20"/>
              </w:rPr>
              <w:t>"Rising oil prices create supply-side inflation that permeates the entire economy through higher transportation and manufacturing costs. This complicates Federal Reserve policy by potentially forcing the central bank to maintain higher interest rates for longer." — Intellectia.ai, March 2026</w:t>
            </w:r>
          </w:p>
        </w:tc>
      </w:tr>
    </w:tbl>
    <w:p w14:paraId="6E41F3FB" w14:textId="77777777" w:rsidR="001C2BB9" w:rsidRDefault="001C2BB9">
      <w:pPr>
        <w:spacing w:before="160"/>
      </w:pPr>
    </w:p>
    <w:p w14:paraId="7339CE34" w14:textId="77777777" w:rsidR="001C2BB9" w:rsidRDefault="00000000">
      <w:pPr>
        <w:pStyle w:val="Heading2"/>
      </w:pPr>
      <w:r>
        <w:t>Risk Appetite and Valuation Compression</w:t>
      </w:r>
    </w:p>
    <w:p w14:paraId="0BA8A1FF" w14:textId="77777777" w:rsidR="001C2BB9" w:rsidRDefault="00000000">
      <w:pPr>
        <w:spacing w:before="80" w:after="120" w:line="276" w:lineRule="auto"/>
      </w:pPr>
      <w:r>
        <w:rPr>
          <w:color w:val="404040"/>
        </w:rPr>
        <w:t>The relationship between oil prices, interest rates, and IPO valuations is direct: higher rates increase the discount rate applied to future cash flows, compressing the valuations of growth companies that dominate the IPO pipeline. For unprofitable or pre-revenue companies — which made up a significant portion of the 2021 IPO boom — this is particularly damaging.</w:t>
      </w:r>
    </w:p>
    <w:p w14:paraId="5F5B65E9" w14:textId="77777777" w:rsidR="001C2BB9" w:rsidRDefault="001C2BB9">
      <w:pPr>
        <w:spacing w:before="80"/>
      </w:pPr>
    </w:p>
    <w:p w14:paraId="50619747" w14:textId="77777777" w:rsidR="001C2BB9" w:rsidRDefault="00000000">
      <w:pPr>
        <w:spacing w:before="80" w:after="120" w:line="276" w:lineRule="auto"/>
      </w:pPr>
      <w:r>
        <w:rPr>
          <w:color w:val="404040"/>
        </w:rPr>
        <w:t>Even before the oil shock, the IPO market of 2025–2026 had become highly selective. Investor discipline imposed in the years following 2021's post-pandemic excesses meant that only companies with credible paths to profitability, strong governance, and durable revenue models were commanding premium valuations. The oil-driven inflation scare tightens this filter further, making it harder for speculative or narrative-driven businesses to price at ambitious multiples.</w:t>
      </w:r>
    </w:p>
    <w:p w14:paraId="4AF54D64" w14:textId="77777777" w:rsidR="001C2BB9" w:rsidRDefault="001C2BB9">
      <w:pPr>
        <w:spacing w:before="80"/>
      </w:pPr>
    </w:p>
    <w:p w14:paraId="3FA6E3EC" w14:textId="77777777" w:rsidR="001C2BB9" w:rsidRDefault="00000000">
      <w:pPr>
        <w:spacing w:before="80" w:after="120" w:line="276" w:lineRule="auto"/>
      </w:pPr>
      <w:r>
        <w:rPr>
          <w:color w:val="404040"/>
        </w:rPr>
        <w:t xml:space="preserve">Broader equity market volatility also rises with oil prices. The S&amp;P 500 had fallen roughly 3–4% from its highs as of early March 2026. While historically, stock market returns have not always correlated negatively with oil price increases — average returns are </w:t>
      </w:r>
      <w:proofErr w:type="gramStart"/>
      <w:r>
        <w:rPr>
          <w:color w:val="404040"/>
        </w:rPr>
        <w:t>actually higher</w:t>
      </w:r>
      <w:proofErr w:type="gramEnd"/>
      <w:r>
        <w:rPr>
          <w:color w:val="404040"/>
        </w:rPr>
        <w:t xml:space="preserve"> when oil prices rise versus fall </w:t>
      </w:r>
      <w:proofErr w:type="gramStart"/>
      <w:r>
        <w:rPr>
          <w:color w:val="404040"/>
        </w:rPr>
        <w:t>in a given year</w:t>
      </w:r>
      <w:proofErr w:type="gramEnd"/>
      <w:r>
        <w:rPr>
          <w:color w:val="404040"/>
        </w:rPr>
        <w:t xml:space="preserve"> — the inflationary channel poses the more serious risk to IPO activity than the direct market performance effect.</w:t>
      </w:r>
    </w:p>
    <w:p w14:paraId="0082B279" w14:textId="77777777" w:rsidR="001C2BB9" w:rsidRDefault="001C2BB9">
      <w:pPr>
        <w:spacing w:before="160"/>
      </w:pPr>
    </w:p>
    <w:p w14:paraId="3105885A" w14:textId="77777777" w:rsidR="001C2BB9" w:rsidRDefault="00000000">
      <w:pPr>
        <w:pStyle w:val="Heading1"/>
        <w:pBdr>
          <w:bottom w:val="single" w:sz="6" w:space="4" w:color="2E75B6"/>
        </w:pBdr>
      </w:pPr>
      <w:r>
        <w:t>3. Sector-by-Sector Impact on the 2026 IPO Pipeline</w:t>
      </w:r>
    </w:p>
    <w:p w14:paraId="3C4CA79C" w14:textId="77777777" w:rsidR="001C2BB9" w:rsidRDefault="00000000">
      <w:pPr>
        <w:pStyle w:val="Heading2"/>
      </w:pPr>
      <w:r>
        <w:t>Winners: Energy and Industrials</w:t>
      </w:r>
    </w:p>
    <w:p w14:paraId="63C6D284" w14:textId="77777777" w:rsidR="001C2BB9" w:rsidRDefault="00000000">
      <w:pPr>
        <w:spacing w:before="80" w:after="120" w:line="276" w:lineRule="auto"/>
      </w:pPr>
      <w:r>
        <w:rPr>
          <w:color w:val="404040"/>
        </w:rPr>
        <w:t>The most direct beneficiaries of elevated oil prices are energy producers themselves. Shares of integrated majors like ExxonMobil, Chevron, and ConocoPhillips rose approximately 30% in 2026 as WTI crossed $90–$95/barrel. For energy companies considering IPOs, higher commodity prices directly improve their valuation cases, free cash flow profiles, and investor appeal.</w:t>
      </w:r>
    </w:p>
    <w:p w14:paraId="5D86F502" w14:textId="77777777" w:rsidR="001C2BB9" w:rsidRDefault="001C2BB9">
      <w:pPr>
        <w:spacing w:before="80"/>
      </w:pPr>
    </w:p>
    <w:p w14:paraId="1D722C83" w14:textId="77777777" w:rsidR="001C2BB9" w:rsidRDefault="00000000">
      <w:pPr>
        <w:spacing w:before="80" w:after="120" w:line="276" w:lineRule="auto"/>
      </w:pPr>
      <w:r>
        <w:rPr>
          <w:color w:val="404040"/>
        </w:rPr>
        <w:t>Deloitte and PwC both highlighted energy transition and grid infrastructure as sectors attracting increased IPO attention, citing their predictable cash flows. While the immediate shock favors traditional energy, the longer-term IPO pipeline in renewables, grid storage, and power infrastructure remains structurally intact — investors in these sectors focus on contracted cash flow stability rather than commodity price sensitivity.</w:t>
      </w:r>
    </w:p>
    <w:p w14:paraId="40226ED0" w14:textId="77777777" w:rsidR="001C2BB9" w:rsidRDefault="001C2BB9">
      <w:pPr>
        <w:spacing w:before="80"/>
      </w:pPr>
    </w:p>
    <w:p w14:paraId="0401F782" w14:textId="77777777" w:rsidR="001C2BB9" w:rsidRDefault="00000000">
      <w:pPr>
        <w:spacing w:before="80" w:after="120" w:line="276" w:lineRule="auto"/>
      </w:pPr>
      <w:r>
        <w:rPr>
          <w:color w:val="404040"/>
        </w:rPr>
        <w:t>Industrials and aerospace and defense, already identified as key 2026 IPO themes by multiple analysts, may receive an additional tailwind. Geopolitical instability historically drives defense spending, and companies in this space benefit from policy support and predictable long-term contracts that insulate them from oil-driven cost inflation.</w:t>
      </w:r>
    </w:p>
    <w:p w14:paraId="5A80F6D0" w14:textId="77777777" w:rsidR="001C2BB9" w:rsidRDefault="001C2BB9">
      <w:pPr>
        <w:spacing w:before="80"/>
      </w:pPr>
    </w:p>
    <w:p w14:paraId="2089796F" w14:textId="77777777" w:rsidR="001C2BB9" w:rsidRDefault="00000000">
      <w:pPr>
        <w:pStyle w:val="Heading2"/>
      </w:pPr>
      <w:r>
        <w:t>Headwinds: Technology and AI-Driven IPOs</w:t>
      </w:r>
    </w:p>
    <w:p w14:paraId="55045211" w14:textId="77777777" w:rsidR="001C2BB9" w:rsidRDefault="00000000">
      <w:pPr>
        <w:spacing w:before="80" w:after="120" w:line="276" w:lineRule="auto"/>
      </w:pPr>
      <w:r>
        <w:rPr>
          <w:color w:val="404040"/>
        </w:rPr>
        <w:t>The most closely watched segment of the 2026 IPO pipeline is artificial intelligence — specifically the potential listings of OpenAI (reportedly at a valuation approaching $1 trillion), SpaceX (rumored to target a valuation of up to $1.5 trillion), and Anthropic (which has retained Wilson Sonsini to advise on public-market readiness). These are the deals that could push 2026 proceeds past $142 billion and set a new all-time U.S. IPO record.</w:t>
      </w:r>
    </w:p>
    <w:p w14:paraId="21CD3F9A" w14:textId="77777777" w:rsidR="001C2BB9" w:rsidRDefault="001C2BB9">
      <w:pPr>
        <w:spacing w:before="80"/>
      </w:pPr>
    </w:p>
    <w:p w14:paraId="5A0DC039" w14:textId="77777777" w:rsidR="001C2BB9" w:rsidRDefault="00000000">
      <w:pPr>
        <w:spacing w:before="80" w:after="120" w:line="276" w:lineRule="auto"/>
      </w:pPr>
      <w:r>
        <w:rPr>
          <w:color w:val="404040"/>
        </w:rPr>
        <w:t xml:space="preserve">For these companies, higher oil prices pose indirect but material risks. AI infrastructure companies face significant capital expenditure requirements for data centers, chips, and power capacity — costs that are partially energy-dependent. Elevated energy prices increase the operating cost burden for data-intensive AI businesses, raising questions about margin profiles </w:t>
      </w:r>
      <w:proofErr w:type="gramStart"/>
      <w:r>
        <w:rPr>
          <w:color w:val="404040"/>
        </w:rPr>
        <w:t>at</w:t>
      </w:r>
      <w:proofErr w:type="gramEnd"/>
      <w:r>
        <w:rPr>
          <w:color w:val="404040"/>
        </w:rPr>
        <w:t xml:space="preserve"> scale. More critically, a higher-rate environment compresses the long-duration discount rates used to value companies whose revenues are expected to materialize years into the future.</w:t>
      </w:r>
    </w:p>
    <w:p w14:paraId="5C943D45" w14:textId="77777777" w:rsidR="001C2BB9" w:rsidRDefault="001C2B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360"/>
      </w:tblGrid>
      <w:tr w:rsidR="001C2BB9" w14:paraId="0C591AB8" w14:textId="77777777">
        <w:tc>
          <w:tcPr>
            <w:tcW w:w="0" w:type="auto"/>
            <w:tcBorders>
              <w:top w:val="single" w:sz="1" w:space="0" w:color="AAAAAA"/>
              <w:left w:val="single" w:sz="12" w:space="0" w:color="2E75B6"/>
              <w:bottom w:val="single" w:sz="1" w:space="0" w:color="AAAAAA"/>
              <w:right w:val="single" w:sz="1" w:space="0" w:color="AAAAAA"/>
            </w:tcBorders>
            <w:shd w:val="clear" w:color="auto" w:fill="EBF3FB"/>
            <w:tcMar>
              <w:top w:w="100" w:type="dxa"/>
              <w:left w:w="200" w:type="dxa"/>
              <w:bottom w:w="100" w:type="dxa"/>
              <w:right w:w="200" w:type="dxa"/>
            </w:tcMar>
          </w:tcPr>
          <w:p w14:paraId="3DFF75DB" w14:textId="77777777" w:rsidR="001C2BB9" w:rsidRDefault="00000000">
            <w:pPr>
              <w:spacing w:before="40" w:after="40"/>
            </w:pPr>
            <w:r>
              <w:rPr>
                <w:b/>
                <w:bCs/>
                <w:color w:val="2E75B6"/>
                <w:sz w:val="20"/>
                <w:szCs w:val="20"/>
              </w:rPr>
              <w:t xml:space="preserve">Pipeline watch: </w:t>
            </w:r>
            <w:r>
              <w:rPr>
                <w:i/>
                <w:iCs/>
                <w:color w:val="404040"/>
                <w:sz w:val="20"/>
                <w:szCs w:val="20"/>
              </w:rPr>
              <w:t>OpenAI, SpaceX, Anthropic, Databricks, and Kraken are among the most anticipated potential 2026 listings. Combined, they could add tens of billions in IPO proceeds — but all are sensitive to valuation conditions tied to rate expectations.</w:t>
            </w:r>
          </w:p>
        </w:tc>
      </w:tr>
    </w:tbl>
    <w:p w14:paraId="5162B53F" w14:textId="77777777" w:rsidR="001C2BB9" w:rsidRDefault="001C2BB9">
      <w:pPr>
        <w:spacing w:before="80"/>
      </w:pPr>
    </w:p>
    <w:p w14:paraId="52D018C3" w14:textId="77777777" w:rsidR="001C2BB9" w:rsidRDefault="00000000">
      <w:pPr>
        <w:pStyle w:val="Heading2"/>
      </w:pPr>
      <w:r>
        <w:t>Mixed Outlook: Healthcare, Consumer, and Financial Services</w:t>
      </w:r>
    </w:p>
    <w:p w14:paraId="1452D9BE" w14:textId="77777777" w:rsidR="001C2BB9" w:rsidRDefault="00000000">
      <w:pPr>
        <w:spacing w:before="80" w:after="120" w:line="276" w:lineRule="auto"/>
      </w:pPr>
      <w:r>
        <w:rPr>
          <w:color w:val="404040"/>
        </w:rPr>
        <w:t xml:space="preserve">Healthcare IPOs, which showed improving momentum heading into 2026 — particularly in AI-enabled </w:t>
      </w:r>
      <w:proofErr w:type="spellStart"/>
      <w:r>
        <w:rPr>
          <w:color w:val="404040"/>
        </w:rPr>
        <w:t>healthtech</w:t>
      </w:r>
      <w:proofErr w:type="spellEnd"/>
      <w:r>
        <w:rPr>
          <w:color w:val="404040"/>
        </w:rPr>
        <w:t xml:space="preserve"> and </w:t>
      </w:r>
      <w:proofErr w:type="spellStart"/>
      <w:r>
        <w:rPr>
          <w:color w:val="404040"/>
        </w:rPr>
        <w:t>medtech</w:t>
      </w:r>
      <w:proofErr w:type="spellEnd"/>
      <w:r>
        <w:rPr>
          <w:color w:val="404040"/>
        </w:rPr>
        <w:t xml:space="preserve"> — are relatively insulated from oil prices but remain subject to overall market risk appetite. Financial services IPOs, including the highly anticipated listing of Banamex in Mexico, face the broader challenge of a more uncertain emerging-market backdrop if oil-driven inflation spreads to developing economies.</w:t>
      </w:r>
    </w:p>
    <w:p w14:paraId="49780CE3" w14:textId="77777777" w:rsidR="001C2BB9" w:rsidRDefault="001C2BB9">
      <w:pPr>
        <w:spacing w:before="80"/>
      </w:pPr>
    </w:p>
    <w:p w14:paraId="1D934984" w14:textId="77777777" w:rsidR="001C2BB9" w:rsidRDefault="00000000">
      <w:pPr>
        <w:spacing w:before="80" w:after="120" w:line="276" w:lineRule="auto"/>
      </w:pPr>
      <w:r>
        <w:rPr>
          <w:color w:val="404040"/>
        </w:rPr>
        <w:t>Consumer-facing businesses, especially those with significant logistics or energy exposure, face direct margin pressure from higher oil prices. For companies in this category considering an IPO, the window for demonstrating the clean earnings trajectory that public investors require has narrowed.</w:t>
      </w:r>
    </w:p>
    <w:p w14:paraId="367819C1" w14:textId="77777777" w:rsidR="001C2BB9" w:rsidRDefault="001C2BB9">
      <w:pPr>
        <w:spacing w:before="160"/>
      </w:pPr>
    </w:p>
    <w:p w14:paraId="3880E1EC" w14:textId="77777777" w:rsidR="001C2BB9" w:rsidRDefault="00000000">
      <w:pPr>
        <w:pStyle w:val="Heading1"/>
        <w:pBdr>
          <w:bottom w:val="single" w:sz="6" w:space="4" w:color="2E75B6"/>
        </w:pBdr>
      </w:pPr>
      <w:r>
        <w:t>4. Timing and Issuance Window Dynamics</w:t>
      </w:r>
    </w:p>
    <w:p w14:paraId="4367E849" w14:textId="77777777" w:rsidR="001C2BB9" w:rsidRDefault="00000000">
      <w:pPr>
        <w:pStyle w:val="Heading2"/>
      </w:pPr>
      <w:r>
        <w:t>Compressed Windows and Increased Optionality</w:t>
      </w:r>
    </w:p>
    <w:p w14:paraId="0447124A" w14:textId="77777777" w:rsidR="001C2BB9" w:rsidRDefault="00000000">
      <w:pPr>
        <w:spacing w:before="80" w:after="120" w:line="276" w:lineRule="auto"/>
      </w:pPr>
      <w:r>
        <w:rPr>
          <w:color w:val="404040"/>
        </w:rPr>
        <w:t>A defining feature of the post-2021 IPO environment has been the 'window-driven' nature of issuance. Companies can no longer simply set a date and list; they must be prepared to act opportunistically when conditions align. Oil-driven volatility exacerbates this dynamic significantly.</w:t>
      </w:r>
    </w:p>
    <w:p w14:paraId="35954539" w14:textId="77777777" w:rsidR="001C2BB9" w:rsidRDefault="001C2BB9">
      <w:pPr>
        <w:spacing w:before="80"/>
      </w:pPr>
    </w:p>
    <w:p w14:paraId="3A8D7938" w14:textId="77777777" w:rsidR="001C2BB9" w:rsidRDefault="00000000">
      <w:pPr>
        <w:spacing w:before="80" w:after="120" w:line="276" w:lineRule="auto"/>
      </w:pPr>
      <w:r>
        <w:rPr>
          <w:color w:val="404040"/>
        </w:rPr>
        <w:t>EY's global IPO outlook warns that in a volatile macro environment, "sporadic bouts of volatility force many companies to delay listings or recalibrate valuation ambitions." IPO readiness has evolved from a project with a defined endpoint into an ongoing organizational capability. Companies that are not already operationally prepared to function as public entities — with audited financials, SEC-ready disclosures, and governance structures in place — will find the window has closed before they can respond.</w:t>
      </w:r>
    </w:p>
    <w:p w14:paraId="60702731" w14:textId="77777777" w:rsidR="001C2BB9" w:rsidRDefault="001C2BB9">
      <w:pPr>
        <w:spacing w:before="80"/>
      </w:pPr>
    </w:p>
    <w:p w14:paraId="499C7870" w14:textId="77777777" w:rsidR="001C2BB9" w:rsidRDefault="00000000">
      <w:pPr>
        <w:spacing w:before="80" w:after="120" w:line="276" w:lineRule="auto"/>
      </w:pPr>
      <w:r>
        <w:rPr>
          <w:color w:val="404040"/>
        </w:rPr>
        <w:t>The government shutdown of late 2025, which halted SEC operations and pushed many planned listings into early 2026, created an already-large supply backlog. Oil-driven market disruption may now force some of that supply into the second half of 2026 or beyond, creating crowding risk when conditions improve.</w:t>
      </w:r>
    </w:p>
    <w:p w14:paraId="12C54146" w14:textId="77777777" w:rsidR="001C2BB9" w:rsidRDefault="001C2BB9">
      <w:pPr>
        <w:spacing w:before="80"/>
      </w:pPr>
    </w:p>
    <w:p w14:paraId="3465D314" w14:textId="77777777" w:rsidR="001C2BB9" w:rsidRDefault="00000000">
      <w:pPr>
        <w:pStyle w:val="Heading2"/>
      </w:pPr>
      <w:r>
        <w:t>Futures Pricing and the Reversion Thesis</w:t>
      </w:r>
    </w:p>
    <w:p w14:paraId="415F6608" w14:textId="77777777" w:rsidR="001C2BB9" w:rsidRDefault="00000000">
      <w:pPr>
        <w:spacing w:before="80" w:after="120" w:line="276" w:lineRule="auto"/>
      </w:pPr>
      <w:r>
        <w:rPr>
          <w:color w:val="404040"/>
        </w:rPr>
        <w:t>Critically, the futures market's expectation of oil price normalization — with Brent contracts for late-2026 delivery priced in the low $80s — provides a plausible scenario for IPO market recovery. If the conflict de-escalates and Strait of Hormuz traffic resumes, the oil price shock may prove to be a delay rather than a derailment for the IPO market.</w:t>
      </w:r>
    </w:p>
    <w:p w14:paraId="03DA0A7D" w14:textId="77777777" w:rsidR="001C2BB9" w:rsidRDefault="001C2BB9">
      <w:pPr>
        <w:spacing w:before="80"/>
      </w:pPr>
    </w:p>
    <w:p w14:paraId="5ED11F1F" w14:textId="77777777" w:rsidR="001C2BB9" w:rsidRDefault="00000000">
      <w:pPr>
        <w:spacing w:before="80" w:after="120" w:line="276" w:lineRule="auto"/>
      </w:pPr>
      <w:r>
        <w:rPr>
          <w:color w:val="404040"/>
        </w:rPr>
        <w:t xml:space="preserve">This creates a staging question for 2026 listings: delay to H2 2026 and hope for macro </w:t>
      </w:r>
      <w:proofErr w:type="gramStart"/>
      <w:r>
        <w:rPr>
          <w:color w:val="404040"/>
        </w:rPr>
        <w:t>normalization, or</w:t>
      </w:r>
      <w:proofErr w:type="gramEnd"/>
      <w:r>
        <w:rPr>
          <w:color w:val="404040"/>
        </w:rPr>
        <w:t xml:space="preserve"> </w:t>
      </w:r>
      <w:proofErr w:type="gramStart"/>
      <w:r>
        <w:rPr>
          <w:color w:val="404040"/>
        </w:rPr>
        <w:t>accelerate</w:t>
      </w:r>
      <w:proofErr w:type="gramEnd"/>
      <w:r>
        <w:rPr>
          <w:color w:val="404040"/>
        </w:rPr>
        <w:t xml:space="preserve"> to lock in current valuations before any further deterioration. Companies with the cleanest fundamentals and lowest capital intensity may be best positioned to price in volatile conditions, while capital-hungry or margin-thin businesses face a more difficult calculus.</w:t>
      </w:r>
    </w:p>
    <w:p w14:paraId="17A3CD91" w14:textId="77777777" w:rsidR="001C2BB9" w:rsidRDefault="001C2BB9">
      <w:pPr>
        <w:spacing w:before="160"/>
      </w:pPr>
    </w:p>
    <w:p w14:paraId="0211FD56" w14:textId="77777777" w:rsidR="001C2BB9" w:rsidRDefault="00000000">
      <w:pPr>
        <w:pStyle w:val="Heading1"/>
        <w:pBdr>
          <w:bottom w:val="single" w:sz="6" w:space="4" w:color="2E75B6"/>
        </w:pBdr>
      </w:pPr>
      <w:r>
        <w:t>5. Implications for Issuers and Investors</w:t>
      </w:r>
    </w:p>
    <w:p w14:paraId="07306E90" w14:textId="77777777" w:rsidR="001C2BB9" w:rsidRDefault="00000000">
      <w:pPr>
        <w:pStyle w:val="Heading2"/>
      </w:pPr>
      <w:r>
        <w:t>For Companies Considering an IPO</w:t>
      </w:r>
    </w:p>
    <w:p w14:paraId="680E4522" w14:textId="77777777" w:rsidR="001C2BB9" w:rsidRDefault="00000000">
      <w:pPr>
        <w:pStyle w:val="ListParagraph"/>
        <w:numPr>
          <w:ilvl w:val="0"/>
          <w:numId w:val="2"/>
        </w:numPr>
        <w:spacing w:before="40" w:after="40"/>
      </w:pPr>
      <w:r>
        <w:rPr>
          <w:color w:val="404040"/>
        </w:rPr>
        <w:t>Prioritize readiness over timing: Companies should continue IPO preparation regardless of current market conditions, ensuring they are able to move quickly when a window opens.</w:t>
      </w:r>
    </w:p>
    <w:p w14:paraId="067F0A61" w14:textId="77777777" w:rsidR="001C2BB9" w:rsidRDefault="00000000">
      <w:pPr>
        <w:pStyle w:val="ListParagraph"/>
        <w:numPr>
          <w:ilvl w:val="0"/>
          <w:numId w:val="2"/>
        </w:numPr>
        <w:spacing w:before="40" w:after="40"/>
      </w:pPr>
      <w:r>
        <w:rPr>
          <w:color w:val="404040"/>
        </w:rPr>
        <w:t>Focus the equity narrative on profitability and resilience: Investors are paying a premium for companies with clear cash generation, manageable debt, and business models that can absorb cost inflation. Issuers should quantify their energy cost exposure and demonstrate pricing power.</w:t>
      </w:r>
    </w:p>
    <w:p w14:paraId="52BDD80B" w14:textId="77777777" w:rsidR="001C2BB9" w:rsidRDefault="00000000">
      <w:pPr>
        <w:pStyle w:val="ListParagraph"/>
        <w:numPr>
          <w:ilvl w:val="0"/>
          <w:numId w:val="2"/>
        </w:numPr>
        <w:spacing w:before="40" w:after="40"/>
      </w:pPr>
      <w:r>
        <w:rPr>
          <w:color w:val="404040"/>
        </w:rPr>
        <w:t>Model multiple scenarios: With oil futures implying normalization but spot prices elevated, issuers should model valuation ranges under different rate and inflation environments and be transparent with investors about sensitivities.</w:t>
      </w:r>
    </w:p>
    <w:p w14:paraId="58160FA9" w14:textId="77777777" w:rsidR="001C2BB9" w:rsidRDefault="00000000">
      <w:pPr>
        <w:pStyle w:val="ListParagraph"/>
        <w:numPr>
          <w:ilvl w:val="0"/>
          <w:numId w:val="2"/>
        </w:numPr>
        <w:spacing w:before="40" w:after="40"/>
      </w:pPr>
      <w:r>
        <w:rPr>
          <w:color w:val="404040"/>
        </w:rPr>
        <w:t>Consider the sector context: Energy, defense, and infrastructure-linked companies are in a stronger position to price than capital-intensive AI or consumer businesses in the current environment.</w:t>
      </w:r>
    </w:p>
    <w:p w14:paraId="6163B549" w14:textId="77777777" w:rsidR="001C2BB9" w:rsidRDefault="001C2BB9">
      <w:pPr>
        <w:spacing w:before="80"/>
      </w:pPr>
    </w:p>
    <w:p w14:paraId="492EAB21" w14:textId="77777777" w:rsidR="001C2BB9" w:rsidRDefault="00000000">
      <w:pPr>
        <w:pStyle w:val="Heading2"/>
      </w:pPr>
      <w:r>
        <w:t>For IPO Investors</w:t>
      </w:r>
    </w:p>
    <w:p w14:paraId="1E67E343" w14:textId="77777777" w:rsidR="001C2BB9" w:rsidRDefault="00000000">
      <w:pPr>
        <w:pStyle w:val="ListParagraph"/>
        <w:numPr>
          <w:ilvl w:val="0"/>
          <w:numId w:val="2"/>
        </w:numPr>
        <w:spacing w:before="40" w:after="40"/>
      </w:pPr>
      <w:r>
        <w:rPr>
          <w:color w:val="404040"/>
        </w:rPr>
        <w:t>Reassess discount rates: The shift from 3–4 rate cuts to 1 expected cut in 2026 is material for long-duration growth stocks. Investors should update valuation models accordingly.</w:t>
      </w:r>
    </w:p>
    <w:p w14:paraId="128645C1" w14:textId="77777777" w:rsidR="001C2BB9" w:rsidRDefault="00000000">
      <w:pPr>
        <w:pStyle w:val="ListParagraph"/>
        <w:numPr>
          <w:ilvl w:val="0"/>
          <w:numId w:val="2"/>
        </w:numPr>
        <w:spacing w:before="40" w:after="40"/>
      </w:pPr>
      <w:r>
        <w:rPr>
          <w:color w:val="404040"/>
        </w:rPr>
        <w:t>Favor inflation-resilient business models: Companies with pricing power, asset-light models, and minimal commodity exposure are better positioned in a higher-inflation environment.</w:t>
      </w:r>
    </w:p>
    <w:p w14:paraId="442EAA5F" w14:textId="77777777" w:rsidR="001C2BB9" w:rsidRDefault="00000000">
      <w:pPr>
        <w:pStyle w:val="ListParagraph"/>
        <w:numPr>
          <w:ilvl w:val="0"/>
          <w:numId w:val="2"/>
        </w:numPr>
        <w:spacing w:before="40" w:after="40"/>
      </w:pPr>
      <w:r>
        <w:rPr>
          <w:color w:val="404040"/>
        </w:rPr>
        <w:t>Watch the oil futures curve: A sustained reversion in oil prices back toward $70–$80/barrel would be a significant positive catalyst for the IPO market in H2 2026.</w:t>
      </w:r>
    </w:p>
    <w:p w14:paraId="4D4ACD43" w14:textId="77777777" w:rsidR="001C2BB9" w:rsidRDefault="00000000">
      <w:pPr>
        <w:pStyle w:val="ListParagraph"/>
        <w:numPr>
          <w:ilvl w:val="0"/>
          <w:numId w:val="2"/>
        </w:numPr>
        <w:spacing w:before="40" w:after="40"/>
      </w:pPr>
      <w:r>
        <w:rPr>
          <w:color w:val="404040"/>
        </w:rPr>
        <w:t>Selective engagement with blockbuster AI listings: The mega-cap AI IPOs represent extraordinary optionality but carry significant rate sensitivity. Position sizing should reflect this.</w:t>
      </w:r>
    </w:p>
    <w:p w14:paraId="49B15982" w14:textId="77777777" w:rsidR="001C2BB9" w:rsidRDefault="001C2BB9">
      <w:pPr>
        <w:spacing w:before="160"/>
      </w:pPr>
    </w:p>
    <w:p w14:paraId="33C3A5B9" w14:textId="77777777" w:rsidR="001C2BB9" w:rsidRDefault="00000000">
      <w:pPr>
        <w:pStyle w:val="Heading1"/>
        <w:pBdr>
          <w:bottom w:val="single" w:sz="6" w:space="4" w:color="2E75B6"/>
        </w:pBdr>
      </w:pPr>
      <w:r>
        <w:t>Conclusion</w:t>
      </w:r>
    </w:p>
    <w:p w14:paraId="73B96758" w14:textId="77777777" w:rsidR="001C2BB9" w:rsidRDefault="00000000">
      <w:pPr>
        <w:spacing w:before="80" w:after="120" w:line="276" w:lineRule="auto"/>
      </w:pPr>
      <w:r>
        <w:rPr>
          <w:color w:val="404040"/>
        </w:rPr>
        <w:t>The 2026 IPO market entered the year with the best structural setup in years: a large backlog, easing rates, recovering equity markets, and a potential wave of landmark listings in AI and space. The oil price shock triggered by the Iran conflict has introduced a significant headwind — not because oil prices and stock markets are strongly negatively correlated historically, but because the inflationary channel threatens to keep the Federal Reserve on hold and compress the valuations that a record-breaking IPO year would require.</w:t>
      </w:r>
    </w:p>
    <w:p w14:paraId="2ABEA391" w14:textId="77777777" w:rsidR="001C2BB9" w:rsidRDefault="001C2BB9">
      <w:pPr>
        <w:spacing w:before="80"/>
      </w:pPr>
    </w:p>
    <w:p w14:paraId="6E95AA3E" w14:textId="77777777" w:rsidR="001C2BB9" w:rsidRDefault="00000000">
      <w:pPr>
        <w:spacing w:before="80" w:after="120" w:line="276" w:lineRule="auto"/>
      </w:pPr>
      <w:r>
        <w:rPr>
          <w:color w:val="404040"/>
        </w:rPr>
        <w:t>The outcome hinges on duration. If the geopolitical disruption proves temporary and oil prices retrace toward the $70–$80/barrel range implied by the futures curve, 2026 could still deliver a record year — simply weighted more heavily toward the second half. If the conflict persists and inflation proves stickier than anticipated, the more cautious scenario — $55–$65 billion in IPO proceeds rather than $140 billion-plus — becomes more probable.</w:t>
      </w:r>
    </w:p>
    <w:p w14:paraId="7EB1120B" w14:textId="77777777" w:rsidR="001C2BB9" w:rsidRDefault="001C2BB9">
      <w:pPr>
        <w:spacing w:before="80"/>
      </w:pPr>
    </w:p>
    <w:p w14:paraId="6A0E2435" w14:textId="77777777" w:rsidR="001C2BB9" w:rsidRDefault="00000000">
      <w:pPr>
        <w:spacing w:before="80" w:after="120" w:line="276" w:lineRule="auto"/>
      </w:pPr>
      <w:r>
        <w:rPr>
          <w:color w:val="404040"/>
        </w:rPr>
        <w:t>In either scenario, the companies and investors that succeed will be those that prioritize quality over speculation, demonstrate rigorous financial discipline, and maintain the flexibility to act decisively when conditions shift. In the post-2021 IPO market, volatility is not an exception — it is the baseline. Oil prices in 2026 have simply made that reality harder to ignore.</w:t>
      </w:r>
    </w:p>
    <w:p w14:paraId="3B8FFAF8" w14:textId="77777777" w:rsidR="001C2BB9" w:rsidRDefault="001C2BB9">
      <w:pPr>
        <w:spacing w:before="160"/>
      </w:pPr>
    </w:p>
    <w:p w14:paraId="1D9BBD49" w14:textId="77777777" w:rsidR="001C2BB9" w:rsidRDefault="00000000">
      <w:pPr>
        <w:pBdr>
          <w:top w:val="single" w:sz="4" w:space="6" w:color="CCCCCC"/>
        </w:pBdr>
        <w:spacing w:before="240" w:after="40"/>
      </w:pPr>
      <w:r>
        <w:rPr>
          <w:b/>
          <w:bCs/>
          <w:color w:val="888888"/>
          <w:sz w:val="18"/>
          <w:szCs w:val="18"/>
        </w:rPr>
        <w:t>DISCLAIMER</w:t>
      </w:r>
    </w:p>
    <w:p w14:paraId="7AB94E0A" w14:textId="63DE505B" w:rsidR="001C2BB9" w:rsidRDefault="00000000">
      <w:pPr>
        <w:spacing w:before="40"/>
      </w:pPr>
      <w:r>
        <w:rPr>
          <w:i/>
          <w:iCs/>
          <w:color w:val="888888"/>
          <w:sz w:val="18"/>
          <w:szCs w:val="18"/>
        </w:rPr>
        <w:t xml:space="preserve">This report is prepared for informational purposes only and does not constitute financial, investment, or legal advice. All data and forecasts are sourced from publicly available reports as of March 2026. </w:t>
      </w:r>
    </w:p>
    <w:sectPr w:rsidR="001C2BB9">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12B2" w14:textId="77777777" w:rsidR="005B5B93" w:rsidRDefault="005B5B93">
      <w:r>
        <w:separator/>
      </w:r>
    </w:p>
  </w:endnote>
  <w:endnote w:type="continuationSeparator" w:id="0">
    <w:p w14:paraId="5A227B65" w14:textId="77777777" w:rsidR="005B5B93" w:rsidRDefault="005B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C332" w14:textId="77777777" w:rsidR="001C2BB9" w:rsidRDefault="00000000">
    <w:pPr>
      <w:jc w:val="center"/>
    </w:pPr>
    <w:r>
      <w:rPr>
        <w:color w:val="888888"/>
        <w:sz w:val="18"/>
        <w:szCs w:val="18"/>
      </w:rPr>
      <w:t xml:space="preserve">The Impact of Higher Oil Prices on the IPO Market in </w:t>
    </w:r>
    <w:proofErr w:type="gramStart"/>
    <w:r>
      <w:rPr>
        <w:color w:val="888888"/>
        <w:sz w:val="18"/>
        <w:szCs w:val="18"/>
      </w:rPr>
      <w:t>2026  |</w:t>
    </w:r>
    <w:proofErr w:type="gramEnd"/>
    <w:r>
      <w:rPr>
        <w:color w:val="888888"/>
        <w:sz w:val="18"/>
        <w:szCs w:val="18"/>
      </w:rPr>
      <w:t xml:space="preserve">  </w:t>
    </w:r>
    <w:r>
      <w:rPr>
        <w:color w:val="888888"/>
        <w:sz w:val="18"/>
        <w:szCs w:val="18"/>
      </w:rPr>
      <w:fldChar w:fldCharType="begin"/>
    </w:r>
    <w:r>
      <w:rPr>
        <w:color w:val="888888"/>
        <w:sz w:val="18"/>
        <w:szCs w:val="18"/>
      </w:rPr>
      <w:instrText>PAGE</w:instrText>
    </w:r>
    <w:r>
      <w:rPr>
        <w:color w:val="888888"/>
        <w:sz w:val="18"/>
        <w:szCs w:val="18"/>
      </w:rPr>
      <w:fldChar w:fldCharType="separate"/>
    </w:r>
    <w:r w:rsidR="00635EC4">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81D6" w14:textId="77777777" w:rsidR="005B5B93" w:rsidRDefault="005B5B93">
      <w:r>
        <w:separator/>
      </w:r>
    </w:p>
  </w:footnote>
  <w:footnote w:type="continuationSeparator" w:id="0">
    <w:p w14:paraId="6F90356E" w14:textId="77777777" w:rsidR="005B5B93" w:rsidRDefault="005B5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282E"/>
    <w:multiLevelType w:val="hybridMultilevel"/>
    <w:tmpl w:val="32508EC6"/>
    <w:lvl w:ilvl="0" w:tplc="A91AD224">
      <w:start w:val="1"/>
      <w:numFmt w:val="bullet"/>
      <w:lvlText w:val="●"/>
      <w:lvlJc w:val="left"/>
      <w:pPr>
        <w:ind w:left="720" w:hanging="360"/>
      </w:pPr>
    </w:lvl>
    <w:lvl w:ilvl="1" w:tplc="5C24552C">
      <w:start w:val="1"/>
      <w:numFmt w:val="bullet"/>
      <w:lvlText w:val="○"/>
      <w:lvlJc w:val="left"/>
      <w:pPr>
        <w:ind w:left="1440" w:hanging="360"/>
      </w:pPr>
    </w:lvl>
    <w:lvl w:ilvl="2" w:tplc="DF3C86F2">
      <w:start w:val="1"/>
      <w:numFmt w:val="bullet"/>
      <w:lvlText w:val="■"/>
      <w:lvlJc w:val="left"/>
      <w:pPr>
        <w:ind w:left="2160" w:hanging="360"/>
      </w:pPr>
    </w:lvl>
    <w:lvl w:ilvl="3" w:tplc="61C89CE0">
      <w:start w:val="1"/>
      <w:numFmt w:val="bullet"/>
      <w:lvlText w:val="●"/>
      <w:lvlJc w:val="left"/>
      <w:pPr>
        <w:ind w:left="2880" w:hanging="360"/>
      </w:pPr>
    </w:lvl>
    <w:lvl w:ilvl="4" w:tplc="E66EA546">
      <w:start w:val="1"/>
      <w:numFmt w:val="bullet"/>
      <w:lvlText w:val="○"/>
      <w:lvlJc w:val="left"/>
      <w:pPr>
        <w:ind w:left="3600" w:hanging="360"/>
      </w:pPr>
    </w:lvl>
    <w:lvl w:ilvl="5" w:tplc="E13425D6">
      <w:start w:val="1"/>
      <w:numFmt w:val="bullet"/>
      <w:lvlText w:val="■"/>
      <w:lvlJc w:val="left"/>
      <w:pPr>
        <w:ind w:left="4320" w:hanging="360"/>
      </w:pPr>
    </w:lvl>
    <w:lvl w:ilvl="6" w:tplc="EE527110">
      <w:start w:val="1"/>
      <w:numFmt w:val="bullet"/>
      <w:lvlText w:val="●"/>
      <w:lvlJc w:val="left"/>
      <w:pPr>
        <w:ind w:left="5040" w:hanging="360"/>
      </w:pPr>
    </w:lvl>
    <w:lvl w:ilvl="7" w:tplc="14A0AF8A">
      <w:start w:val="1"/>
      <w:numFmt w:val="bullet"/>
      <w:lvlText w:val="●"/>
      <w:lvlJc w:val="left"/>
      <w:pPr>
        <w:ind w:left="5760" w:hanging="360"/>
      </w:pPr>
    </w:lvl>
    <w:lvl w:ilvl="8" w:tplc="E8DA96A6">
      <w:start w:val="1"/>
      <w:numFmt w:val="bullet"/>
      <w:lvlText w:val="●"/>
      <w:lvlJc w:val="left"/>
      <w:pPr>
        <w:ind w:left="6480" w:hanging="360"/>
      </w:pPr>
    </w:lvl>
  </w:abstractNum>
  <w:abstractNum w:abstractNumId="1" w15:restartNumberingAfterBreak="0">
    <w:nsid w:val="75947FA7"/>
    <w:multiLevelType w:val="hybridMultilevel"/>
    <w:tmpl w:val="FC0AB442"/>
    <w:lvl w:ilvl="0" w:tplc="EA5C662A">
      <w:start w:val="1"/>
      <w:numFmt w:val="bullet"/>
      <w:lvlText w:val="•"/>
      <w:lvlJc w:val="left"/>
      <w:pPr>
        <w:ind w:left="720" w:hanging="360"/>
      </w:pPr>
    </w:lvl>
    <w:lvl w:ilvl="1" w:tplc="E0326C5A">
      <w:numFmt w:val="decimal"/>
      <w:lvlText w:val=""/>
      <w:lvlJc w:val="left"/>
    </w:lvl>
    <w:lvl w:ilvl="2" w:tplc="4F48FDB8">
      <w:numFmt w:val="decimal"/>
      <w:lvlText w:val=""/>
      <w:lvlJc w:val="left"/>
    </w:lvl>
    <w:lvl w:ilvl="3" w:tplc="435ECA00">
      <w:numFmt w:val="decimal"/>
      <w:lvlText w:val=""/>
      <w:lvlJc w:val="left"/>
    </w:lvl>
    <w:lvl w:ilvl="4" w:tplc="D696E33A">
      <w:numFmt w:val="decimal"/>
      <w:lvlText w:val=""/>
      <w:lvlJc w:val="left"/>
    </w:lvl>
    <w:lvl w:ilvl="5" w:tplc="C602B558">
      <w:numFmt w:val="decimal"/>
      <w:lvlText w:val=""/>
      <w:lvlJc w:val="left"/>
    </w:lvl>
    <w:lvl w:ilvl="6" w:tplc="90048138">
      <w:numFmt w:val="decimal"/>
      <w:lvlText w:val=""/>
      <w:lvlJc w:val="left"/>
    </w:lvl>
    <w:lvl w:ilvl="7" w:tplc="B0A67276">
      <w:numFmt w:val="decimal"/>
      <w:lvlText w:val=""/>
      <w:lvlJc w:val="left"/>
    </w:lvl>
    <w:lvl w:ilvl="8" w:tplc="8DD25738">
      <w:numFmt w:val="decimal"/>
      <w:lvlText w:val=""/>
      <w:lvlJc w:val="left"/>
    </w:lvl>
  </w:abstractNum>
  <w:num w:numId="1" w16cid:durableId="1343824984">
    <w:abstractNumId w:val="0"/>
    <w:lvlOverride w:ilvl="0">
      <w:startOverride w:val="1"/>
    </w:lvlOverride>
  </w:num>
  <w:num w:numId="2" w16cid:durableId="13100864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B9"/>
    <w:rsid w:val="00067959"/>
    <w:rsid w:val="001C2BB9"/>
    <w:rsid w:val="005B5B93"/>
    <w:rsid w:val="0063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9570"/>
  <w15:docId w15:val="{A704315C-6692-480B-BB46-A982749C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28"/>
      <w:szCs w:val="28"/>
    </w:rPr>
  </w:style>
  <w:style w:type="paragraph" w:styleId="Heading2">
    <w:name w:val="heading 2"/>
    <w:uiPriority w:val="9"/>
    <w:unhideWhenUsed/>
    <w:qFormat/>
    <w:pPr>
      <w:spacing w:before="24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E44864B79743BA620344A78CB01D" ma:contentTypeVersion="18" ma:contentTypeDescription="Create a new document." ma:contentTypeScope="" ma:versionID="6d797c012737da0df04b03624b99cca9">
  <xsd:schema xmlns:xsd="http://www.w3.org/2001/XMLSchema" xmlns:xs="http://www.w3.org/2001/XMLSchema" xmlns:p="http://schemas.microsoft.com/office/2006/metadata/properties" xmlns:ns2="f1901da1-e111-48fd-ba5c-c940922dc9bb" xmlns:ns3="215a0157-651a-4d61-b05e-4d9b7622adda" targetNamespace="http://schemas.microsoft.com/office/2006/metadata/properties" ma:root="true" ma:fieldsID="0b5046fac7013085d020cfd9a436ddcb" ns2:_="" ns3:_="">
    <xsd:import namespace="f1901da1-e111-48fd-ba5c-c940922dc9bb"/>
    <xsd:import namespace="215a0157-651a-4d61-b05e-4d9b7622ad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01da1-e111-48fd-ba5c-c940922d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5abd02-69f4-4035-b693-4c9f56a81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a0157-651a-4d61-b05e-4d9b7622ad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6dc3c2-8157-4b60-9948-50ab0705a7bf}" ma:internalName="TaxCatchAll" ma:showField="CatchAllData" ma:web="215a0157-651a-4d61-b05e-4d9b7622a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5a0157-651a-4d61-b05e-4d9b7622adda" xsi:nil="true"/>
    <lcf76f155ced4ddcb4097134ff3c332f xmlns="f1901da1-e111-48fd-ba5c-c940922d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574290-AA13-459F-B61A-101B38FCAB55}"/>
</file>

<file path=customXml/itemProps2.xml><?xml version="1.0" encoding="utf-8"?>
<ds:datastoreItem xmlns:ds="http://schemas.openxmlformats.org/officeDocument/2006/customXml" ds:itemID="{87ED8594-4731-4303-BA70-A5C2FD78ECDE}"/>
</file>

<file path=customXml/itemProps3.xml><?xml version="1.0" encoding="utf-8"?>
<ds:datastoreItem xmlns:ds="http://schemas.openxmlformats.org/officeDocument/2006/customXml" ds:itemID="{555228FD-B08D-4BB7-AF00-5F0EA1F5EC67}"/>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12200</Characters>
  <Application>Microsoft Office Word</Application>
  <DocSecurity>0</DocSecurity>
  <Lines>248</Lines>
  <Paragraphs>66</Paragraphs>
  <ScaleCrop>false</ScaleCrop>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Loren Heger</cp:lastModifiedBy>
  <cp:revision>2</cp:revision>
  <dcterms:created xsi:type="dcterms:W3CDTF">2026-03-17T16:42:00Z</dcterms:created>
  <dcterms:modified xsi:type="dcterms:W3CDTF">2026-03-17T16:46:00Z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0x0101004AC1E44864B79743BA620344A78CB01D</vt:lpwstr>
  </property>
</Properties>
</file>